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cs="方正小标宋简体" w:asciiTheme="majorEastAsia" w:hAnsiTheme="majorEastAsia" w:eastAsiaTheme="majorEastAsia"/>
          <w:b/>
          <w:sz w:val="44"/>
          <w:szCs w:val="44"/>
        </w:rPr>
      </w:pPr>
      <w:bookmarkStart w:id="0" w:name="_Toc76683363"/>
      <w:bookmarkStart w:id="1" w:name="_Toc27865"/>
      <w:r>
        <w:rPr>
          <w:rFonts w:hint="eastAsia" w:cs="方正小标宋简体" w:asciiTheme="majorEastAsia" w:hAnsiTheme="majorEastAsia" w:eastAsiaTheme="majorEastAsia"/>
          <w:b/>
          <w:sz w:val="44"/>
          <w:szCs w:val="44"/>
        </w:rPr>
        <w:t>洛阳市偃师区市场监督管理局</w:t>
      </w:r>
      <w:bookmarkEnd w:id="0"/>
      <w:bookmarkEnd w:id="1"/>
    </w:p>
    <w:p>
      <w:pPr>
        <w:spacing w:line="560" w:lineRule="exact"/>
        <w:jc w:val="center"/>
        <w:outlineLvl w:val="0"/>
        <w:rPr>
          <w:rFonts w:cs="Mongolian Baiti" w:asciiTheme="majorEastAsia" w:hAnsiTheme="majorEastAsia" w:eastAsiaTheme="majorEastAsia"/>
          <w:b/>
          <w:color w:val="000000"/>
          <w:sz w:val="44"/>
          <w:szCs w:val="44"/>
        </w:rPr>
      </w:pPr>
      <w:bookmarkStart w:id="2" w:name="_Toc76683364"/>
      <w:r>
        <w:rPr>
          <w:rFonts w:cs="Mongolian Baiti" w:asciiTheme="majorEastAsia" w:hAnsiTheme="majorEastAsia" w:eastAsiaTheme="majorEastAsia"/>
          <w:b/>
          <w:color w:val="000000"/>
          <w:sz w:val="44"/>
          <w:szCs w:val="44"/>
        </w:rPr>
        <w:t>行政处罚决定书</w:t>
      </w:r>
      <w:bookmarkEnd w:id="2"/>
    </w:p>
    <w:p>
      <w:pPr>
        <w:spacing w:line="560" w:lineRule="exact"/>
        <w:jc w:val="center"/>
        <w:outlineLvl w:val="0"/>
        <w:rPr>
          <w:rFonts w:cs="Mongolian Baiti" w:asciiTheme="majorEastAsia" w:hAnsiTheme="majorEastAsia" w:eastAsiaTheme="majorEastAsia"/>
          <w:b/>
          <w:color w:val="000000"/>
          <w:sz w:val="44"/>
          <w:szCs w:val="44"/>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w:t>
      </w:r>
      <w:r>
        <w:rPr>
          <w:rFonts w:ascii="仿宋" w:hAnsi="仿宋" w:eastAsia="仿宋" w:cs="仿宋_GB2312"/>
          <w:bCs/>
          <w:color w:val="000000"/>
          <w:sz w:val="32"/>
          <w:szCs w:val="32"/>
        </w:rPr>
        <w:t>2023</w:t>
      </w:r>
      <w:r>
        <w:rPr>
          <w:rFonts w:hint="eastAsia" w:ascii="仿宋" w:hAnsi="仿宋" w:eastAsia="仿宋" w:cs="仿宋_GB2312"/>
          <w:bCs/>
          <w:color w:val="000000"/>
          <w:sz w:val="32"/>
          <w:szCs w:val="32"/>
        </w:rPr>
        <w:t>〕</w:t>
      </w:r>
      <w:bookmarkEnd w:id="3"/>
      <w:r>
        <w:rPr>
          <w:rFonts w:ascii="仿宋" w:hAnsi="仿宋" w:eastAsia="仿宋" w:cs="仿宋_GB2312"/>
          <w:bCs/>
          <w:color w:val="000000"/>
          <w:sz w:val="32"/>
          <w:szCs w:val="32"/>
        </w:rPr>
        <w:t>2021143</w:t>
      </w:r>
      <w:r>
        <w:rPr>
          <w:rFonts w:hint="eastAsia" w:ascii="仿宋" w:hAnsi="仿宋" w:eastAsia="仿宋" w:cs="仿宋_GB2312"/>
          <w:bCs/>
          <w:color w:val="000000"/>
          <w:sz w:val="32"/>
          <w:szCs w:val="32"/>
        </w:rPr>
        <w:t>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20801965</wp:posOffset>
                </wp:positionV>
                <wp:extent cx="5761990"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637.95pt;height:0pt;width:453.7pt;z-index:251659264;mso-width-relative:page;mso-height-relative:page;" filled="f" stroked="t" coordsize="21600,21600" o:allowoverlap="f" o:gfxdata="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5xn+gDxhfSGZaCimMMoNouLpy1dIkuTLK8sHmJkUpT4l1Cqqot68nL0/FZQgdyZUNu&#10;oNB4Yoa2zcnotKovldYpBUO7XujANpCckb/EkID/OpaqLAG74VzeGjzTSaif25rFnSfNLD0Vnnow&#10;suZMS3pZKSJAKCMofcxJKq0tdZBEHmRN0drVu6x2XicX5B73jk02+3Oes+9f6f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eGctJ9YAAAAMAQAADwAAAAAAAAABACAAAAAiAAAAZHJzL2Rvd25yZXYu&#10;eG1sUEsBAhQAFAAAAAgAh07iQFXqW5X9AQAA7QMAAA4AAAAAAAAAAQAgAAAAJQEAAGRycy9lMm9E&#10;b2MueG1sUEsFBgAAAAAGAAYAWQEAAJQFAAAAAA==&#10;">
                <v:fill on="f" focussize="0,0"/>
                <v:stroke weight="1.5pt" color="#000000" joinstyle="round"/>
                <v:imagedata o:title=""/>
                <o:lock v:ext="edit" aspectratio="f"/>
              </v:shape>
            </w:pict>
          </mc:Fallback>
        </mc:AlternateContent>
      </w:r>
    </w:p>
    <w:p>
      <w:pPr>
        <w:pStyle w:val="4"/>
        <w:tabs>
          <w:tab w:val="left" w:pos="9072"/>
        </w:tabs>
        <w:spacing w:line="600" w:lineRule="exact"/>
        <w:ind w:right="-197" w:rightChars="-94"/>
        <w:rPr>
          <w:rFonts w:ascii="仿宋" w:hAnsi="仿宋" w:eastAsia="仿宋" w:cs="仿宋"/>
          <w:color w:val="221E1F"/>
          <w:spacing w:val="-7"/>
        </w:rPr>
      </w:pPr>
    </w:p>
    <w:p>
      <w:pPr>
        <w:pStyle w:val="4"/>
        <w:tabs>
          <w:tab w:val="left" w:pos="9072"/>
        </w:tabs>
        <w:spacing w:line="580" w:lineRule="exact"/>
        <w:ind w:right="-197" w:rightChars="-94"/>
        <w:rPr>
          <w:rFonts w:ascii="仿宋" w:hAnsi="仿宋" w:eastAsia="仿宋" w:cs="仿宋"/>
          <w:color w:val="221E1F"/>
          <w:spacing w:val="-7"/>
        </w:rPr>
      </w:pPr>
      <w:r>
        <w:rPr>
          <w:rFonts w:hint="eastAsia" w:ascii="仿宋" w:hAnsi="仿宋" w:eastAsia="仿宋" w:cs="仿宋"/>
          <w:color w:val="221E1F"/>
          <w:spacing w:val="-7"/>
        </w:rPr>
        <w:t>当事人：洛阳国平新能源汽车销售有限公司</w:t>
      </w:r>
    </w:p>
    <w:p>
      <w:pPr>
        <w:pStyle w:val="4"/>
        <w:tabs>
          <w:tab w:val="left" w:pos="9072"/>
        </w:tabs>
        <w:spacing w:line="580" w:lineRule="exact"/>
        <w:ind w:right="-197" w:rightChars="-94"/>
        <w:rPr>
          <w:rFonts w:ascii="仿宋" w:hAnsi="仿宋" w:eastAsia="仿宋" w:cs="仿宋"/>
          <w:color w:val="221E1F"/>
          <w:spacing w:val="-7"/>
        </w:rPr>
      </w:pPr>
      <w:r>
        <w:rPr>
          <w:rFonts w:hint="eastAsia" w:ascii="仿宋" w:hAnsi="仿宋" w:eastAsia="仿宋" w:cs="仿宋"/>
          <w:color w:val="221E1F"/>
          <w:spacing w:val="-7"/>
        </w:rPr>
        <w:t>主体资格证照名称：营业执照</w:t>
      </w:r>
    </w:p>
    <w:p>
      <w:pPr>
        <w:pStyle w:val="4"/>
        <w:tabs>
          <w:tab w:val="left" w:pos="9072"/>
        </w:tabs>
        <w:spacing w:line="580" w:lineRule="exact"/>
        <w:ind w:right="-197" w:rightChars="-94"/>
        <w:rPr>
          <w:rFonts w:ascii="仿宋" w:hAnsi="仿宋" w:eastAsia="仿宋" w:cs="仿宋"/>
          <w:color w:val="221E1F"/>
          <w:spacing w:val="-7"/>
        </w:rPr>
      </w:pPr>
      <w:r>
        <w:rPr>
          <w:rFonts w:hint="eastAsia" w:ascii="仿宋" w:hAnsi="仿宋" w:eastAsia="仿宋" w:cs="仿宋"/>
          <w:color w:val="221E1F"/>
          <w:spacing w:val="-7"/>
        </w:rPr>
        <w:t>统一社会信用代码：91410381MA45WBLN55</w:t>
      </w:r>
    </w:p>
    <w:p>
      <w:pPr>
        <w:pStyle w:val="4"/>
        <w:tabs>
          <w:tab w:val="left" w:pos="9072"/>
        </w:tabs>
        <w:spacing w:line="580" w:lineRule="exact"/>
        <w:ind w:right="-197" w:rightChars="-94"/>
        <w:rPr>
          <w:rFonts w:ascii="仿宋" w:hAnsi="仿宋" w:eastAsia="仿宋" w:cs="仿宋"/>
          <w:color w:val="221E1F"/>
          <w:spacing w:val="-7"/>
        </w:rPr>
      </w:pPr>
      <w:r>
        <w:rPr>
          <w:rFonts w:hint="eastAsia" w:ascii="仿宋" w:hAnsi="仿宋" w:eastAsia="仿宋" w:cs="仿宋"/>
          <w:color w:val="221E1F"/>
          <w:spacing w:val="-7"/>
        </w:rPr>
        <w:t>住所：河南省洛阳市偃师市槐新街道民主路南侧4号门市</w:t>
      </w:r>
    </w:p>
    <w:p>
      <w:pPr>
        <w:pStyle w:val="4"/>
        <w:tabs>
          <w:tab w:val="left" w:pos="9072"/>
        </w:tabs>
        <w:spacing w:line="580" w:lineRule="exact"/>
        <w:ind w:right="-197" w:rightChars="-94"/>
        <w:rPr>
          <w:rFonts w:ascii="仿宋" w:hAnsi="仿宋" w:eastAsia="仿宋" w:cs="仿宋"/>
          <w:color w:val="221E1F"/>
          <w:spacing w:val="-7"/>
        </w:rPr>
      </w:pPr>
      <w:r>
        <w:rPr>
          <w:rFonts w:hint="eastAsia" w:ascii="仿宋" w:hAnsi="仿宋" w:eastAsia="仿宋" w:cs="仿宋"/>
          <w:color w:val="221E1F"/>
          <w:spacing w:val="-7"/>
        </w:rPr>
        <w:t>法定代表人：宋耿</w:t>
      </w:r>
    </w:p>
    <w:p>
      <w:pPr>
        <w:pStyle w:val="2"/>
        <w:spacing w:line="580" w:lineRule="exact"/>
        <w:ind w:left="0" w:leftChars="0" w:right="-197" w:rightChars="-94" w:firstLine="640"/>
        <w:rPr>
          <w:rFonts w:ascii="仿宋" w:hAnsi="仿宋" w:eastAsia="仿宋"/>
          <w:sz w:val="32"/>
          <w:szCs w:val="32"/>
        </w:rPr>
      </w:pPr>
      <w:bookmarkStart w:id="4" w:name="_GoBack"/>
      <w:bookmarkEnd w:id="4"/>
      <w:r>
        <w:rPr>
          <w:rFonts w:hint="eastAsia" w:ascii="仿宋" w:hAnsi="仿宋" w:eastAsia="仿宋"/>
          <w:sz w:val="32"/>
          <w:szCs w:val="32"/>
        </w:rPr>
        <w:t>2021年7月27日，我局执法人员对门头悬挂“雅迪中国区NO.3930005门店”的洛阳国平新能源汽车销售有限公司进行检查，发现该店销售有多种型号的“雅迪”牌电动车，其店内墙壁上悬挂的九块软膜灯箱上分别有“TTFAR 石墨烯3代电池 专利技术 里程加倍”、“一次充电 多跑一倍 搭载国际领先TTFAR 8级增程系统”等宣传内容。为进一步查清事实，2021年8月26日，我局予以立案并通过询问、案件协查、调取和核实相关材料等方式进行了案件调查。</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调查中，雅迪科技集团有限公司表示TTFAR石墨3代电池系其公司研发，未取得相关专利，但其从未授权经销商使用或宣传上述广告，门店的相关宣传属于个人行为，与其公司无关系。2021年10月26日，因新冠疫情，经局负责人批准中止本案调查。2022年7月6日，我局执法人员再次对当事人进行现场检查，发现其店内原“TTFAR 石墨烯3代电池 专利技术 里程加倍”的软膜灯箱内容变为“雅迪TTFAR 石墨烯电池 3倍寿命 2年换新”；原“国际领先 TTFAR 8级增程系统”宣传语，已经不存在。经询问，当事人承认该软膜灯箱广告内容是其制作并改正的。当日，经我局负责人批准对该案恢复调查。</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经查，当事人店内软膜灯箱原宣传内容由当事人委托偃师诚诚广告经营部制作，2021年3月17日安装到当事人店内，费用630元。其中，当事人提供的专利申请受理通知书及国家知识产权局官网的中国专利审查信息显示，当事人宣传的所谓“TTFAR石墨烯3代电池，专利技术”仅有专利申请，并未取得相关专利；当事人于2021年8月4日向我局提供的《科学技术成果鉴定证书》（JK鉴字[2020]第2055号）内容为：“成果名称：雅迪电动摩托车永磁同步轮毂电机增程技术，完成单位：雅迪科技集团有限公司，鉴定形式：会议鉴定，组织鉴定单位：中国机械工业联合会，鉴定日期：2020年5月30日，鉴定意见：鉴定委员会认为：雅迪电动摩托车永磁同步轮毂电机增程技术国际先进，其中永磁同步轮毂电机制造工艺与能效达到国际领先水平，同意通过鉴定”，显示永磁同步轮毂电机增程技术中仅永磁同步轮毂电机制造工艺与能效达到国际领先水平，与当事人宣传的“搭载国际领先 TTFAR 8级增程系统”内容不符。2022年3月26日，当事人对上述不实宣传内容予以纠正。</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上述事实，主要有以下证据证明：</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 xml:space="preserve">1.营业执照复印件，证明当事人主体经营资格；                                                </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2.现场笔录，证明我局执法人员现场检查的情况；</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 xml:space="preserve">3.询问笔录，证明涉案软膜灯箱宣传内容及来源情况；    </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4.询问通知书，证明我局要求相关人员接受询问通知的情况；</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 xml:space="preserve">5.限期提供材料通知书，证明我局要求相关人员提供材料情况；                                                   </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6.协助调查函，证明我局要求相关单位协助调查的情况；</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 xml:space="preserve">7.涉案灯箱图片，证明当事人宣传的内容；            </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 xml:space="preserve">8.专利申请受理通知书，证明相关专利受理情况；                                 </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 xml:space="preserve">9.科学技术成果鉴定证书，证明中国机械工业联合会鉴定情况；                                                 </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10.协查回函，证明无锡市场监督管理局协查的情况；</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2023年2月1日，我局向当事人送达了偃市监罚告〔2023〕  2021143号《行政处罚告知书》，告知当事人我局拟做出行政处罚决定的事实、理由、依据、内容以及当事人依法享有的陈述、申辩权，并可以要求听证。当事人在法定期限内未要求举行听证。根据当事人违法的事实、性质，及主动纠正违法内容，消除、减轻违法行为危害后果等情形，依据《中华人民共和国反不正当竞争法》第二十五条“经营者违反本法规定从事不正当竞争，有主动消除或者减轻违法行为危害后果等法定情形的，依法从轻或者减轻行政处罚；违法行为轻微并及时纠正，没有造成危害后果的，不予行政处罚。”之规定，根据当事人违法的事实、性质、情节，应给予减轻处罚。</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当事人对其销售的雅迪电动车作虚假和引人误解的商业宣传，违反了《中华人民共和国反不正当竞争法》第八条第一款“经营者不得对其商品的性能、功能、质量、销售状况、用户评价、曾获荣誉等作虚假或者引人误解的商业宣传，欺骗、误导消费者。”之规定，依据《中华人民共和国反不正当法》第二十条第一款“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之规定，经研究决定，对洛阳国平新能源汽车销售有限公司责令停止违法行为，处10万元的罚款。</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pStyle w:val="2"/>
        <w:spacing w:line="580" w:lineRule="exact"/>
        <w:ind w:left="0" w:leftChars="0" w:right="-197" w:rightChars="-94" w:firstLine="640"/>
        <w:rPr>
          <w:rFonts w:ascii="仿宋" w:hAnsi="仿宋" w:eastAsia="仿宋"/>
          <w:sz w:val="32"/>
          <w:szCs w:val="32"/>
        </w:rPr>
      </w:pPr>
      <w:r>
        <w:rPr>
          <w:rFonts w:hint="eastAsia" w:ascii="仿宋" w:hAnsi="仿宋" w:eastAsia="仿宋"/>
          <w:sz w:val="32"/>
          <w:szCs w:val="32"/>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2"/>
        <w:spacing w:line="580" w:lineRule="exact"/>
        <w:ind w:left="0" w:leftChars="0" w:right="-197" w:rightChars="-94" w:firstLine="640"/>
      </w:pPr>
      <w:r>
        <w:rPr>
          <w:rFonts w:hint="eastAsia" w:ascii="仿宋" w:hAnsi="仿宋" w:eastAsia="仿宋"/>
          <w:sz w:val="32"/>
          <w:szCs w:val="32"/>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r>
        <w:rPr>
          <w:rFonts w:hint="eastAsia"/>
        </w:rPr>
        <w:t xml:space="preserve">         </w:t>
      </w:r>
    </w:p>
    <w:p>
      <w:pPr>
        <w:pStyle w:val="2"/>
        <w:spacing w:line="580" w:lineRule="exact"/>
        <w:ind w:right="-197" w:rightChars="-94"/>
      </w:pPr>
    </w:p>
    <w:p>
      <w:pPr>
        <w:pStyle w:val="2"/>
        <w:spacing w:line="580" w:lineRule="exact"/>
        <w:ind w:right="-197" w:rightChars="-94"/>
      </w:pPr>
    </w:p>
    <w:p>
      <w:pPr>
        <w:pStyle w:val="2"/>
        <w:spacing w:line="580" w:lineRule="exact"/>
        <w:ind w:right="-197" w:rightChars="-94"/>
      </w:pPr>
    </w:p>
    <w:p>
      <w:pPr>
        <w:tabs>
          <w:tab w:val="left" w:pos="6680"/>
          <w:tab w:val="left" w:pos="8920"/>
        </w:tabs>
        <w:spacing w:line="580" w:lineRule="exact"/>
        <w:ind w:right="-197" w:rightChars="-94" w:firstLine="3200" w:firstLineChars="1000"/>
        <w:rPr>
          <w:rFonts w:ascii="仿宋" w:hAnsi="仿宋" w:eastAsia="仿宋" w:cs="仿宋"/>
          <w:color w:val="231F20"/>
          <w:sz w:val="32"/>
          <w:szCs w:val="32"/>
        </w:rPr>
      </w:pPr>
      <w:r>
        <w:rPr>
          <w:rFonts w:hint="eastAsia" w:ascii="仿宋" w:hAnsi="仿宋" w:eastAsia="仿宋" w:cs="仿宋"/>
          <w:color w:val="231F20"/>
          <w:sz w:val="32"/>
          <w:szCs w:val="32"/>
        </w:rPr>
        <w:t>洛阳市偃师区市场监督管理局</w:t>
      </w:r>
    </w:p>
    <w:p>
      <w:pPr>
        <w:tabs>
          <w:tab w:val="left" w:pos="6680"/>
          <w:tab w:val="left" w:pos="8920"/>
        </w:tabs>
        <w:spacing w:line="580" w:lineRule="exact"/>
        <w:ind w:right="-197" w:rightChars="-94" w:firstLine="640" w:firstLineChars="200"/>
        <w:rPr>
          <w:rFonts w:ascii="仿宋" w:hAnsi="仿宋" w:eastAsia="仿宋" w:cs="仿宋"/>
          <w:color w:val="231F20"/>
          <w:sz w:val="32"/>
          <w:szCs w:val="32"/>
        </w:rPr>
      </w:pPr>
    </w:p>
    <w:p>
      <w:pPr>
        <w:tabs>
          <w:tab w:val="left" w:pos="6680"/>
          <w:tab w:val="left" w:pos="8920"/>
        </w:tabs>
        <w:spacing w:line="580" w:lineRule="exact"/>
        <w:ind w:right="-197" w:rightChars="-94" w:firstLine="4160" w:firstLineChars="1300"/>
        <w:rPr>
          <w:rFonts w:ascii="仿宋" w:hAnsi="仿宋" w:eastAsia="仿宋" w:cs="仿宋"/>
          <w:color w:val="231F20"/>
          <w:sz w:val="32"/>
          <w:szCs w:val="32"/>
        </w:rPr>
      </w:pPr>
      <w:r>
        <w:rPr>
          <w:rFonts w:hint="eastAsia" w:ascii="仿宋" w:hAnsi="仿宋" w:eastAsia="仿宋" w:cs="仿宋"/>
          <w:color w:val="231F20"/>
          <w:sz w:val="32"/>
          <w:szCs w:val="32"/>
        </w:rPr>
        <w:t>202</w:t>
      </w:r>
      <w:r>
        <w:rPr>
          <w:rFonts w:ascii="仿宋" w:hAnsi="仿宋" w:eastAsia="仿宋" w:cs="仿宋"/>
          <w:color w:val="231F20"/>
          <w:sz w:val="32"/>
          <w:szCs w:val="32"/>
        </w:rPr>
        <w:t>3</w:t>
      </w:r>
      <w:r>
        <w:rPr>
          <w:rFonts w:hint="eastAsia" w:ascii="仿宋" w:hAnsi="仿宋" w:eastAsia="仿宋" w:cs="仿宋"/>
          <w:color w:val="231F20"/>
          <w:sz w:val="32"/>
          <w:szCs w:val="32"/>
        </w:rPr>
        <w:t>年</w:t>
      </w:r>
      <w:r>
        <w:rPr>
          <w:rFonts w:ascii="仿宋" w:hAnsi="仿宋" w:eastAsia="仿宋" w:cs="仿宋"/>
          <w:color w:val="231F20"/>
          <w:sz w:val="32"/>
          <w:szCs w:val="32"/>
        </w:rPr>
        <w:t>2</w:t>
      </w:r>
      <w:r>
        <w:rPr>
          <w:rFonts w:hint="eastAsia" w:ascii="仿宋" w:hAnsi="仿宋" w:eastAsia="仿宋" w:cs="仿宋"/>
          <w:color w:val="231F20"/>
          <w:sz w:val="32"/>
          <w:szCs w:val="32"/>
        </w:rPr>
        <w:t>月1</w:t>
      </w:r>
      <w:r>
        <w:rPr>
          <w:rFonts w:ascii="仿宋" w:hAnsi="仿宋" w:eastAsia="仿宋" w:cs="仿宋"/>
          <w:color w:val="231F20"/>
          <w:sz w:val="32"/>
          <w:szCs w:val="32"/>
        </w:rPr>
        <w:t>0</w:t>
      </w:r>
      <w:r>
        <w:rPr>
          <w:rFonts w:hint="eastAsia" w:ascii="仿宋" w:hAnsi="仿宋" w:eastAsia="仿宋" w:cs="仿宋"/>
          <w:color w:val="231F20"/>
          <w:sz w:val="32"/>
          <w:szCs w:val="32"/>
        </w:rPr>
        <w:t>日</w:t>
      </w:r>
    </w:p>
    <w:p>
      <w:pPr>
        <w:pStyle w:val="2"/>
      </w:pPr>
    </w:p>
    <w:p>
      <w:pPr>
        <w:pStyle w:val="2"/>
      </w:pPr>
    </w:p>
    <w:p>
      <w:pPr>
        <w:spacing w:before="1" w:line="600" w:lineRule="exact"/>
        <w:ind w:left="-283" w:leftChars="-135" w:firstLine="576" w:firstLineChars="200"/>
        <w:rPr>
          <w:rFonts w:ascii="Times New Roman" w:hAnsi="Times New Roman" w:eastAsia="仿宋_GB2312" w:cs="仿宋"/>
          <w:bCs/>
          <w:color w:val="000000"/>
          <w:sz w:val="44"/>
          <w:szCs w:val="44"/>
        </w:rPr>
      </w:pPr>
      <w:r>
        <w:rPr>
          <w:rFonts w:hint="eastAsia" w:ascii="黑体" w:hAnsi="黑体" w:eastAsia="黑体"/>
          <w:color w:val="231F20"/>
          <w:spacing w:val="-16"/>
          <w:sz w:val="32"/>
          <w:szCs w:val="32"/>
        </w:rPr>
        <w:t>（市场监督管理部门将依法向社会公开行政处罚决定信息）</w:t>
      </w:r>
    </w:p>
    <w:p>
      <w:pPr>
        <w:spacing w:line="600" w:lineRule="exact"/>
        <w:ind w:left="105" w:leftChars="50"/>
      </w:pPr>
      <w:r>
        <w:rPr>
          <w:rFonts w:ascii="Times New Roman" w:hAnsi="Times New Roman" w:eastAsia="仿宋_GB2312"/>
          <w:sz w:val="32"/>
        </w:rPr>
        <mc:AlternateContent>
          <mc:Choice Requires="wps">
            <w:drawing>
              <wp:anchor distT="0" distB="0" distL="114300" distR="114300" simplePos="0" relativeHeight="251660288" behindDoc="0" locked="0" layoutInCell="1" allowOverlap="1">
                <wp:simplePos x="0" y="0"/>
                <wp:positionH relativeFrom="column">
                  <wp:posOffset>78740</wp:posOffset>
                </wp:positionH>
                <wp:positionV relativeFrom="paragraph">
                  <wp:posOffset>8255</wp:posOffset>
                </wp:positionV>
                <wp:extent cx="508190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081905"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6.2pt;margin-top:0.65pt;height:0pt;width:400.15pt;z-index:251660288;mso-width-relative:page;mso-height-relative:page;" filled="f" stroked="t" coordsize="21600,21600" o:gfxdata="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HIFyp&#10;1AAAAAYBAAAPAAAAAAAAAAEAIAAAACIAAABkcnMvZG93bnJldi54bWxQSwECFAAUAAAACACHTuJA&#10;mDdP9ewBAADZAwAADgAAAAAAAAABACAAAAAjAQAAZHJzL2Uyb0RvYy54bWxQSwUGAAAAAAYABgBZ&#10;AQAAgQUAAAAA&#10;">
                <v:fill on="f" focussize="0,0"/>
                <v:stroke weight="1.25pt" color="#000000" joinstyle="round"/>
                <v:imagedata o:title=""/>
                <o:lock v:ext="edit" aspectratio="f"/>
              </v:line>
            </w:pict>
          </mc:Fallback>
        </mc:AlternateContent>
      </w: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19050" t="19050" r="9525" b="17780"/>
                <wp:wrapNone/>
                <wp:docPr id="1" name="直接连接符 1"/>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A05cm8AEAANkDAAAOAAAAZHJzL2Uyb0RvYy54bWytU81u&#10;EzEQviPxDpbvZJOgpnSVTQ8N5YIgEvAAE9ubteQ/PG42eQleAIkbnDhy79tQHqNjb0i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oEzhxYuvC7&#10;zz9+fvr66/YLrXffv7FJFqkPWFPulVvFww7DKmbGuzba/CcubFeE3R+FVbvEBDnPzmfT2fSMM0Gx&#10;yfS86F49nA0R0yvlLctGw412mTbUsH2NiepR6u+U7DaO9Q2/eD6jWxRAM4gfybCBWKDblJPojZbX&#10;2picj3GzvjKRbSFPQfkyJ0L9Ky2XWAJ2Q14JDfPRKZAvnWRpH0gfR8+C5waskpwZRa8oWwQIdQJt&#10;Tsmk0sZRB1nWQchsrb3cF32Ln2689HiYzjxSf+7L6YcXubg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zkdcAAAAKAQAADwAAAAAAAAABACAAAAAiAAAAZHJzL2Rvd25yZXYueG1sUEsBAhQAFAAA&#10;AAgAh07iQMDTlybwAQAA2QMAAA4AAAAAAAAAAQAgAAAAJg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docPartObj>
        <w:docPartGallery w:val="autotext"/>
      </w:docPartObj>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0226DF"/>
    <w:rsid w:val="000549E7"/>
    <w:rsid w:val="00060D5D"/>
    <w:rsid w:val="0006455A"/>
    <w:rsid w:val="00071AD4"/>
    <w:rsid w:val="00081729"/>
    <w:rsid w:val="00106802"/>
    <w:rsid w:val="00123547"/>
    <w:rsid w:val="001540C2"/>
    <w:rsid w:val="00157315"/>
    <w:rsid w:val="00160F3D"/>
    <w:rsid w:val="001625A1"/>
    <w:rsid w:val="00182CEB"/>
    <w:rsid w:val="001C14D0"/>
    <w:rsid w:val="001C406E"/>
    <w:rsid w:val="001E212C"/>
    <w:rsid w:val="001F6BAC"/>
    <w:rsid w:val="00227491"/>
    <w:rsid w:val="002A02FF"/>
    <w:rsid w:val="002F38F8"/>
    <w:rsid w:val="00300636"/>
    <w:rsid w:val="00306F98"/>
    <w:rsid w:val="003174F3"/>
    <w:rsid w:val="003473E5"/>
    <w:rsid w:val="00361C2D"/>
    <w:rsid w:val="003934E4"/>
    <w:rsid w:val="003B1E8D"/>
    <w:rsid w:val="003B3F77"/>
    <w:rsid w:val="003D0988"/>
    <w:rsid w:val="003D3277"/>
    <w:rsid w:val="003D4F20"/>
    <w:rsid w:val="003E647B"/>
    <w:rsid w:val="003F2CF4"/>
    <w:rsid w:val="00413AA6"/>
    <w:rsid w:val="00442A65"/>
    <w:rsid w:val="00450659"/>
    <w:rsid w:val="004741F6"/>
    <w:rsid w:val="004912F3"/>
    <w:rsid w:val="004A35C6"/>
    <w:rsid w:val="004A4160"/>
    <w:rsid w:val="004A7FE3"/>
    <w:rsid w:val="004F2B1A"/>
    <w:rsid w:val="004F2E1E"/>
    <w:rsid w:val="00501139"/>
    <w:rsid w:val="00514837"/>
    <w:rsid w:val="005308E1"/>
    <w:rsid w:val="00554245"/>
    <w:rsid w:val="00566DAF"/>
    <w:rsid w:val="00586696"/>
    <w:rsid w:val="00596FBD"/>
    <w:rsid w:val="005A047F"/>
    <w:rsid w:val="005D18B0"/>
    <w:rsid w:val="005D2ED6"/>
    <w:rsid w:val="005E18DD"/>
    <w:rsid w:val="0060000A"/>
    <w:rsid w:val="006505C7"/>
    <w:rsid w:val="00657F19"/>
    <w:rsid w:val="00670764"/>
    <w:rsid w:val="00681F2E"/>
    <w:rsid w:val="00690C28"/>
    <w:rsid w:val="00697090"/>
    <w:rsid w:val="006E0682"/>
    <w:rsid w:val="006E32C2"/>
    <w:rsid w:val="006F3D7B"/>
    <w:rsid w:val="006F53DF"/>
    <w:rsid w:val="007207C1"/>
    <w:rsid w:val="00727D0F"/>
    <w:rsid w:val="00731613"/>
    <w:rsid w:val="00746F40"/>
    <w:rsid w:val="00750B88"/>
    <w:rsid w:val="0077122F"/>
    <w:rsid w:val="00774F7D"/>
    <w:rsid w:val="007873C0"/>
    <w:rsid w:val="007946F5"/>
    <w:rsid w:val="007B4BF9"/>
    <w:rsid w:val="007C0885"/>
    <w:rsid w:val="007C2FF7"/>
    <w:rsid w:val="007C7F04"/>
    <w:rsid w:val="007D18F5"/>
    <w:rsid w:val="007E0AE2"/>
    <w:rsid w:val="00801E3D"/>
    <w:rsid w:val="00811BB6"/>
    <w:rsid w:val="00841C45"/>
    <w:rsid w:val="00856E61"/>
    <w:rsid w:val="008761F6"/>
    <w:rsid w:val="00883536"/>
    <w:rsid w:val="0089608C"/>
    <w:rsid w:val="008B0C53"/>
    <w:rsid w:val="008B77FD"/>
    <w:rsid w:val="008C05D9"/>
    <w:rsid w:val="008D0DB0"/>
    <w:rsid w:val="008E00B5"/>
    <w:rsid w:val="00934A26"/>
    <w:rsid w:val="009A54D8"/>
    <w:rsid w:val="009C0091"/>
    <w:rsid w:val="009F17C3"/>
    <w:rsid w:val="00A1348C"/>
    <w:rsid w:val="00A36BDF"/>
    <w:rsid w:val="00A47D5F"/>
    <w:rsid w:val="00A70CBE"/>
    <w:rsid w:val="00AB6B7F"/>
    <w:rsid w:val="00AD12CD"/>
    <w:rsid w:val="00B30859"/>
    <w:rsid w:val="00B41B06"/>
    <w:rsid w:val="00B44A45"/>
    <w:rsid w:val="00B46970"/>
    <w:rsid w:val="00B673C3"/>
    <w:rsid w:val="00B76462"/>
    <w:rsid w:val="00B96F19"/>
    <w:rsid w:val="00BA7617"/>
    <w:rsid w:val="00BD6B33"/>
    <w:rsid w:val="00BF3A1E"/>
    <w:rsid w:val="00C028E8"/>
    <w:rsid w:val="00C218DF"/>
    <w:rsid w:val="00C60732"/>
    <w:rsid w:val="00C62CBD"/>
    <w:rsid w:val="00CA06E1"/>
    <w:rsid w:val="00CF283D"/>
    <w:rsid w:val="00D013FB"/>
    <w:rsid w:val="00D0391A"/>
    <w:rsid w:val="00D23099"/>
    <w:rsid w:val="00D40ED5"/>
    <w:rsid w:val="00D51FE4"/>
    <w:rsid w:val="00D71F71"/>
    <w:rsid w:val="00D87AD5"/>
    <w:rsid w:val="00DB1577"/>
    <w:rsid w:val="00DB7C4F"/>
    <w:rsid w:val="00DE5147"/>
    <w:rsid w:val="00E14F08"/>
    <w:rsid w:val="00E5081F"/>
    <w:rsid w:val="00E54EE9"/>
    <w:rsid w:val="00E66166"/>
    <w:rsid w:val="00E72921"/>
    <w:rsid w:val="00E7733B"/>
    <w:rsid w:val="00E91730"/>
    <w:rsid w:val="00EA171B"/>
    <w:rsid w:val="00F03F69"/>
    <w:rsid w:val="00F05C55"/>
    <w:rsid w:val="00F262C7"/>
    <w:rsid w:val="00F44A22"/>
    <w:rsid w:val="00F536F2"/>
    <w:rsid w:val="00F63455"/>
    <w:rsid w:val="00F7096F"/>
    <w:rsid w:val="00F921DF"/>
    <w:rsid w:val="00FB1953"/>
    <w:rsid w:val="00FE58CD"/>
    <w:rsid w:val="00FE7CD7"/>
    <w:rsid w:val="00FE7F62"/>
    <w:rsid w:val="00FF1F8A"/>
    <w:rsid w:val="05832791"/>
    <w:rsid w:val="10B36ECA"/>
    <w:rsid w:val="16851020"/>
    <w:rsid w:val="21A84B2B"/>
    <w:rsid w:val="29E82357"/>
    <w:rsid w:val="2CF4766E"/>
    <w:rsid w:val="385950D4"/>
    <w:rsid w:val="4B7E4F9D"/>
    <w:rsid w:val="58E3481A"/>
    <w:rsid w:val="5C1E5005"/>
    <w:rsid w:val="621B5461"/>
    <w:rsid w:val="67EF7B27"/>
    <w:rsid w:val="6A3C4B51"/>
    <w:rsid w:val="6D6C4027"/>
    <w:rsid w:val="707B2941"/>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Date"/>
    <w:basedOn w:val="1"/>
    <w:next w:val="1"/>
    <w:link w:val="16"/>
    <w:qFormat/>
    <w:uiPriority w:val="0"/>
    <w:pPr>
      <w:ind w:left="100" w:leftChars="2500"/>
    </w:pPr>
  </w:style>
  <w:style w:type="paragraph" w:styleId="6">
    <w:name w:val="Balloon Text"/>
    <w:basedOn w:val="1"/>
    <w:link w:val="17"/>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Hyperlink"/>
    <w:basedOn w:val="11"/>
    <w:qFormat/>
    <w:uiPriority w:val="0"/>
    <w:rPr>
      <w:color w:val="0563C1" w:themeColor="hyperlink"/>
      <w:u w:val="single"/>
      <w14:textFill>
        <w14:solidFill>
          <w14:schemeClr w14:val="hlink"/>
        </w14:solidFill>
      </w14:textFill>
    </w:rPr>
  </w:style>
  <w:style w:type="paragraph" w:customStyle="1" w:styleId="13">
    <w:name w:val="Table Paragraph"/>
    <w:basedOn w:val="1"/>
    <w:qFormat/>
    <w:uiPriority w:val="1"/>
  </w:style>
  <w:style w:type="character" w:customStyle="1" w:styleId="14">
    <w:name w:val="页眉 字符"/>
    <w:basedOn w:val="11"/>
    <w:link w:val="8"/>
    <w:qFormat/>
    <w:uiPriority w:val="0"/>
    <w:rPr>
      <w:kern w:val="2"/>
      <w:sz w:val="18"/>
      <w:szCs w:val="18"/>
    </w:rPr>
  </w:style>
  <w:style w:type="character" w:customStyle="1" w:styleId="15">
    <w:name w:val="页脚 字符"/>
    <w:basedOn w:val="11"/>
    <w:link w:val="7"/>
    <w:qFormat/>
    <w:uiPriority w:val="99"/>
    <w:rPr>
      <w:kern w:val="2"/>
      <w:sz w:val="18"/>
      <w:szCs w:val="18"/>
    </w:rPr>
  </w:style>
  <w:style w:type="character" w:customStyle="1" w:styleId="16">
    <w:name w:val="日期 字符"/>
    <w:basedOn w:val="11"/>
    <w:link w:val="5"/>
    <w:qFormat/>
    <w:uiPriority w:val="0"/>
    <w:rPr>
      <w:kern w:val="2"/>
      <w:sz w:val="21"/>
      <w:szCs w:val="24"/>
    </w:rPr>
  </w:style>
  <w:style w:type="character" w:customStyle="1" w:styleId="17">
    <w:name w:val="批注框文本 字符"/>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6626F-2D54-4F1F-9D85-B30D68C941E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2342</Words>
  <Characters>2604</Characters>
  <Lines>20</Lines>
  <Paragraphs>5</Paragraphs>
  <TotalTime>17</TotalTime>
  <ScaleCrop>false</ScaleCrop>
  <LinksUpToDate>false</LinksUpToDate>
  <CharactersWithSpaces>2845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2023-02-10T08:34:00Z</dcterms:created>
  <dc:creator>lenovo</dc:creator>
  <cp:lastModifiedBy>王建清</cp:lastModifiedBy>
  <cp:lastPrinted>2023-02-13T01:15:00Z</cp:lastPrinted>
  <dcterms:modified xsi:type="dcterms:W3CDTF">2023-03-16T07:52:09Z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1188D36423024B959F468EA39F4001BD</vt:lpwstr>
  </property>
</Properties>
</file>